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83B4" w14:textId="49EAABDA" w:rsidR="00997DDE" w:rsidRDefault="00997DDE">
      <w:pPr>
        <w:rPr>
          <w:lang w:val="es-ES"/>
        </w:rPr>
      </w:pPr>
      <w:r>
        <w:rPr>
          <w:lang w:val="es-ES"/>
        </w:rPr>
        <w:t>Clase 1</w:t>
      </w:r>
    </w:p>
    <w:p w14:paraId="4ACF9F04" w14:textId="1A14279C" w:rsidR="00997DDE" w:rsidRDefault="00997DDE">
      <w:pPr>
        <w:rPr>
          <w:lang w:val="es-ES"/>
        </w:rPr>
      </w:pPr>
    </w:p>
    <w:p w14:paraId="46D47A31" w14:textId="77777777" w:rsidR="00997DDE" w:rsidRPr="00165EE9" w:rsidRDefault="00997DDE" w:rsidP="00997DDE">
      <w:pPr>
        <w:spacing w:line="480" w:lineRule="auto"/>
        <w:jc w:val="both"/>
        <w:rPr>
          <w:rFonts w:ascii="Tahoma" w:hAnsi="Tahoma"/>
          <w:lang w:val="en-US"/>
        </w:rPr>
      </w:pPr>
      <w:r w:rsidRPr="00165EE9">
        <w:rPr>
          <w:rFonts w:ascii="Tahoma" w:hAnsi="Tahoma"/>
          <w:lang w:val="en-US"/>
        </w:rPr>
        <w:t>W:  __________________________________________________________ ?</w:t>
      </w:r>
    </w:p>
    <w:p w14:paraId="60607B52" w14:textId="77777777" w:rsidR="00997DDE" w:rsidRPr="00165EE9" w:rsidRDefault="00997DDE" w:rsidP="00997DDE">
      <w:pPr>
        <w:spacing w:line="480" w:lineRule="auto"/>
        <w:jc w:val="both"/>
        <w:rPr>
          <w:rFonts w:ascii="Tahoma" w:hAnsi="Tahoma"/>
          <w:lang w:val="en-US"/>
        </w:rPr>
      </w:pPr>
      <w:r w:rsidRPr="00165EE9">
        <w:rPr>
          <w:rFonts w:ascii="Tahoma" w:hAnsi="Tahoma"/>
          <w:lang w:val="en-US"/>
        </w:rPr>
        <w:t xml:space="preserve">D: Well, income tax is normally self-assessed by taxpayers on their own tax return. The tax administration is entitled to make an official assessment of income tax if: the taxpayer does not file an income tax return; the taxpayer fails to provide information or clarifications as required by the tax administration or if the taxpayer’s return is not accurate. </w:t>
      </w:r>
    </w:p>
    <w:p w14:paraId="7067EA9A" w14:textId="77777777" w:rsidR="00997DDE" w:rsidRPr="00165EE9" w:rsidRDefault="00997DDE" w:rsidP="00997DDE">
      <w:pPr>
        <w:spacing w:line="480" w:lineRule="auto"/>
        <w:jc w:val="both"/>
        <w:rPr>
          <w:rFonts w:ascii="Tahoma" w:hAnsi="Tahoma"/>
          <w:lang w:val="en-US"/>
        </w:rPr>
      </w:pPr>
      <w:r w:rsidRPr="00165EE9">
        <w:rPr>
          <w:rFonts w:ascii="Tahoma" w:hAnsi="Tahoma"/>
          <w:lang w:val="en-US"/>
        </w:rPr>
        <w:t>W: _________________________________________________________?</w:t>
      </w:r>
    </w:p>
    <w:p w14:paraId="5DA012C6" w14:textId="77777777" w:rsidR="00997DDE" w:rsidRPr="00165EE9" w:rsidRDefault="00997DDE" w:rsidP="00997DDE">
      <w:pPr>
        <w:spacing w:line="480" w:lineRule="auto"/>
        <w:jc w:val="both"/>
        <w:rPr>
          <w:rFonts w:ascii="Tahoma" w:hAnsi="Tahoma"/>
          <w:lang w:val="en-US"/>
        </w:rPr>
      </w:pPr>
      <w:r w:rsidRPr="00165EE9">
        <w:rPr>
          <w:rFonts w:ascii="Tahoma" w:hAnsi="Tahoma"/>
          <w:lang w:val="en-US"/>
        </w:rPr>
        <w:t xml:space="preserve">D: Well, taxpayers taxed on their actual income may choose to assess and pay income tax according to one of two methods: they may </w:t>
      </w:r>
      <w:r>
        <w:rPr>
          <w:rFonts w:ascii="Tahoma" w:hAnsi="Tahoma"/>
          <w:lang w:val="en-US"/>
        </w:rPr>
        <w:t>compute</w:t>
      </w:r>
      <w:r w:rsidRPr="00165EE9">
        <w:rPr>
          <w:rFonts w:ascii="Tahoma" w:hAnsi="Tahoma"/>
          <w:lang w:val="en-US"/>
        </w:rPr>
        <w:t xml:space="preserve"> the actual taxable income quarterly, thus assessing and paying income tax  on actual profits on a quarterly basis. In this case no annual income tax is due as income tax on actual profits has been paid quarterly. On the other hand, they may </w:t>
      </w:r>
      <w:r>
        <w:rPr>
          <w:rFonts w:ascii="Tahoma" w:hAnsi="Tahoma"/>
          <w:lang w:val="en-US"/>
        </w:rPr>
        <w:t>assess</w:t>
      </w:r>
      <w:r w:rsidRPr="00165EE9">
        <w:rPr>
          <w:rFonts w:ascii="Tahoma" w:hAnsi="Tahoma"/>
          <w:lang w:val="en-US"/>
        </w:rPr>
        <w:t xml:space="preserve"> the actual taxable income annually. In this case, the taxable base is calculated by applying a given percent</w:t>
      </w:r>
      <w:r>
        <w:rPr>
          <w:rFonts w:ascii="Tahoma" w:hAnsi="Tahoma"/>
          <w:lang w:val="en-US"/>
        </w:rPr>
        <w:t>age on the monthly gross income</w:t>
      </w:r>
      <w:r w:rsidRPr="00165EE9">
        <w:rPr>
          <w:rFonts w:ascii="Tahoma" w:hAnsi="Tahoma"/>
          <w:lang w:val="en-US"/>
        </w:rPr>
        <w:t>. The tax has to be paid monthly and is treated as an advance payment. This advance payment, of course, is creditable against their final tax liability.</w:t>
      </w:r>
    </w:p>
    <w:p w14:paraId="60FD2772" w14:textId="77777777" w:rsidR="00997DDE" w:rsidRPr="00165EE9" w:rsidRDefault="00997DDE" w:rsidP="00997DDE">
      <w:pPr>
        <w:spacing w:line="480" w:lineRule="auto"/>
        <w:jc w:val="both"/>
        <w:rPr>
          <w:rFonts w:ascii="Tahoma" w:hAnsi="Tahoma"/>
          <w:lang w:val="en-US"/>
        </w:rPr>
      </w:pPr>
      <w:r w:rsidRPr="00165EE9">
        <w:rPr>
          <w:rFonts w:ascii="Tahoma" w:hAnsi="Tahoma"/>
          <w:lang w:val="en-US"/>
        </w:rPr>
        <w:t>W:  _____________________________________________________________?</w:t>
      </w:r>
    </w:p>
    <w:p w14:paraId="6ADF215E" w14:textId="77777777" w:rsidR="00997DDE" w:rsidRPr="00165EE9" w:rsidRDefault="00997DDE" w:rsidP="00997DDE">
      <w:pPr>
        <w:spacing w:line="480" w:lineRule="auto"/>
        <w:jc w:val="both"/>
        <w:rPr>
          <w:rFonts w:ascii="Tahoma" w:hAnsi="Tahoma"/>
          <w:lang w:val="en-US"/>
        </w:rPr>
      </w:pPr>
      <w:r w:rsidRPr="00165EE9">
        <w:rPr>
          <w:rFonts w:ascii="Tahoma" w:hAnsi="Tahoma"/>
          <w:lang w:val="en-US"/>
        </w:rPr>
        <w:t xml:space="preserve">D:  </w:t>
      </w:r>
      <w:r>
        <w:rPr>
          <w:rFonts w:ascii="Tahoma" w:hAnsi="Tahoma"/>
          <w:lang w:val="en-US"/>
        </w:rPr>
        <w:t>As a matter of fact,</w:t>
      </w:r>
      <w:r w:rsidRPr="00165EE9">
        <w:rPr>
          <w:rFonts w:ascii="Tahoma" w:hAnsi="Tahoma"/>
          <w:lang w:val="en-US"/>
        </w:rPr>
        <w:t xml:space="preserve"> legal entities whose total gross income – including capital gains – did not exceed </w:t>
      </w:r>
      <w:r>
        <w:rPr>
          <w:rFonts w:ascii="Tahoma" w:hAnsi="Tahoma"/>
          <w:lang w:val="en-US"/>
        </w:rPr>
        <w:t>$$</w:t>
      </w:r>
      <w:r w:rsidRPr="00165EE9">
        <w:rPr>
          <w:rFonts w:ascii="Tahoma" w:hAnsi="Tahoma"/>
          <w:lang w:val="en-US"/>
        </w:rPr>
        <w:t xml:space="preserve"> 12 million in the previous year may choose to be taxed on deemed profits. Under this regime, taxable income is considered to be, in general, 8% of the taxpayer’s monthly turnover. So the tax is assessed by applying the corporate income tax rate on the taxable base. The tax is accounted for on a monthly basis and must be paid in the month of accrual of income.</w:t>
      </w:r>
    </w:p>
    <w:p w14:paraId="12404645" w14:textId="15E13D24" w:rsidR="00997DDE" w:rsidRDefault="00997DDE">
      <w:pPr>
        <w:rPr>
          <w:lang w:val="en-US"/>
        </w:rPr>
      </w:pPr>
    </w:p>
    <w:p w14:paraId="7CF35C86" w14:textId="1F3187B4" w:rsidR="00997DDE" w:rsidRDefault="00997DDE">
      <w:pPr>
        <w:rPr>
          <w:lang w:val="en-US"/>
        </w:rPr>
      </w:pPr>
    </w:p>
    <w:p w14:paraId="2584FC1D" w14:textId="77777777" w:rsidR="00997DDE" w:rsidRDefault="00997DDE" w:rsidP="00997DD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/>
        </w:rPr>
      </w:pPr>
      <w:r w:rsidRPr="00165709">
        <w:rPr>
          <w:rFonts w:ascii="Arial" w:hAnsi="Arial"/>
          <w:lang w:val="en-US"/>
        </w:rPr>
        <w:t xml:space="preserve">These two methods seem quite clear. Yet, there is something I don't seem to understand. Why do you speak of taxpayers taxed on actual profits? </w:t>
      </w: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mean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"actual"?</w:t>
      </w:r>
    </w:p>
    <w:p w14:paraId="79C8A63E" w14:textId="77777777" w:rsidR="00997DDE" w:rsidRPr="00165709" w:rsidRDefault="00997DDE" w:rsidP="00997DD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/>
          <w:lang w:val="en-US"/>
        </w:rPr>
      </w:pPr>
      <w:r w:rsidRPr="00165709">
        <w:rPr>
          <w:rFonts w:ascii="Arial" w:hAnsi="Arial"/>
          <w:lang w:val="en-US"/>
        </w:rPr>
        <w:t>How flexible is the system? I mean, are</w:t>
      </w:r>
      <w:r>
        <w:rPr>
          <w:rFonts w:ascii="Arial" w:hAnsi="Arial"/>
          <w:lang w:val="en-US"/>
        </w:rPr>
        <w:t xml:space="preserve"> there</w:t>
      </w:r>
      <w:r w:rsidRPr="00165709">
        <w:rPr>
          <w:rFonts w:ascii="Arial" w:hAnsi="Arial"/>
          <w:lang w:val="en-US"/>
        </w:rPr>
        <w:t xml:space="preserve"> remedies available for the taxpayer who is not satisfied with an official assessment?</w:t>
      </w:r>
    </w:p>
    <w:p w14:paraId="219EA431" w14:textId="77777777" w:rsidR="00997DDE" w:rsidRPr="00165709" w:rsidRDefault="00997DDE" w:rsidP="00997DD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/>
          <w:lang w:val="en-US"/>
        </w:rPr>
      </w:pPr>
      <w:r w:rsidRPr="00165709">
        <w:rPr>
          <w:rFonts w:ascii="Arial" w:hAnsi="Arial"/>
          <w:lang w:val="en-US"/>
        </w:rPr>
        <w:t>Who are considered to be taxable persons for Corporate Income Tax purposes?</w:t>
      </w:r>
    </w:p>
    <w:p w14:paraId="5E0DB574" w14:textId="77777777" w:rsidR="00997DDE" w:rsidRPr="00165709" w:rsidRDefault="00997DDE" w:rsidP="00997DD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/>
          <w:lang w:val="en-US"/>
        </w:rPr>
      </w:pPr>
      <w:r w:rsidRPr="00165709">
        <w:rPr>
          <w:rFonts w:ascii="Arial" w:hAnsi="Arial"/>
          <w:lang w:val="en-US"/>
        </w:rPr>
        <w:t>So, how are they taxed?</w:t>
      </w:r>
    </w:p>
    <w:p w14:paraId="4EF7122F" w14:textId="77777777" w:rsidR="00997DDE" w:rsidRPr="00165709" w:rsidRDefault="00997DDE" w:rsidP="00997DD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/>
          <w:lang w:val="en-US"/>
        </w:rPr>
      </w:pPr>
      <w:r w:rsidRPr="00165709">
        <w:rPr>
          <w:rFonts w:ascii="Arial" w:hAnsi="Arial"/>
          <w:lang w:val="en-US"/>
        </w:rPr>
        <w:t>Are there different tax brackets for corporate income tax?</w:t>
      </w:r>
    </w:p>
    <w:p w14:paraId="77817641" w14:textId="77777777" w:rsidR="00997DDE" w:rsidRPr="00165709" w:rsidRDefault="00997DDE" w:rsidP="00997DD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/>
          <w:lang w:val="en-US"/>
        </w:rPr>
      </w:pPr>
      <w:r w:rsidRPr="00165709">
        <w:rPr>
          <w:rFonts w:ascii="Arial" w:hAnsi="Arial"/>
          <w:lang w:val="en-US"/>
        </w:rPr>
        <w:t>How about tax accounting, does it differ very much from traditional book accounting?</w:t>
      </w:r>
    </w:p>
    <w:p w14:paraId="3CA28C02" w14:textId="77777777" w:rsidR="00997DDE" w:rsidRPr="00165709" w:rsidRDefault="00997DDE" w:rsidP="00997DD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Is there any specific</w:t>
      </w:r>
      <w:r w:rsidRPr="00165709">
        <w:rPr>
          <w:rFonts w:ascii="Arial" w:hAnsi="Arial"/>
          <w:lang w:val="en-US"/>
        </w:rPr>
        <w:t xml:space="preserve"> statute of limitations as regards audits by the tax administration?</w:t>
      </w:r>
    </w:p>
    <w:p w14:paraId="42E1EDE3" w14:textId="77777777" w:rsidR="00997DDE" w:rsidRPr="00165709" w:rsidRDefault="00997DDE" w:rsidP="00997DD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/>
          <w:lang w:val="en-US"/>
        </w:rPr>
      </w:pPr>
      <w:r w:rsidRPr="00165709">
        <w:rPr>
          <w:rFonts w:ascii="Arial" w:hAnsi="Arial"/>
          <w:lang w:val="en-US"/>
        </w:rPr>
        <w:t xml:space="preserve">How hard are tax regulations in </w:t>
      </w:r>
      <w:r>
        <w:rPr>
          <w:rFonts w:ascii="Arial" w:hAnsi="Arial"/>
          <w:lang w:val="en-US"/>
        </w:rPr>
        <w:t>your country</w:t>
      </w:r>
      <w:r w:rsidRPr="00165709">
        <w:rPr>
          <w:rFonts w:ascii="Arial" w:hAnsi="Arial"/>
          <w:lang w:val="en-US"/>
        </w:rPr>
        <w:t>?</w:t>
      </w:r>
    </w:p>
    <w:p w14:paraId="706FEA0A" w14:textId="77777777" w:rsidR="00997DDE" w:rsidRPr="00165709" w:rsidRDefault="00997DDE" w:rsidP="00997DD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/>
          <w:lang w:val="en-US"/>
        </w:rPr>
      </w:pPr>
      <w:r w:rsidRPr="00165709">
        <w:rPr>
          <w:rFonts w:ascii="Arial" w:hAnsi="Arial"/>
          <w:lang w:val="en-US"/>
        </w:rPr>
        <w:t>How are taxpayers assessed for income tax purposes</w:t>
      </w:r>
      <w:r>
        <w:rPr>
          <w:rFonts w:ascii="Arial" w:hAnsi="Arial"/>
          <w:lang w:val="en-US"/>
        </w:rPr>
        <w:t>?</w:t>
      </w:r>
    </w:p>
    <w:p w14:paraId="107273E7" w14:textId="77777777" w:rsidR="00997DDE" w:rsidRPr="00165709" w:rsidRDefault="00997DDE" w:rsidP="00997DD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How do the country’s </w:t>
      </w:r>
      <w:r w:rsidRPr="00165709">
        <w:rPr>
          <w:rFonts w:ascii="Arial" w:hAnsi="Arial"/>
          <w:lang w:val="en-US"/>
        </w:rPr>
        <w:t>tax regulations define the concept of "income"?</w:t>
      </w:r>
    </w:p>
    <w:p w14:paraId="11D5188C" w14:textId="77777777" w:rsidR="00997DDE" w:rsidRPr="00165709" w:rsidRDefault="00997DDE" w:rsidP="00997DD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/>
          <w:lang w:val="en-US"/>
        </w:rPr>
      </w:pPr>
      <w:r w:rsidRPr="00165709">
        <w:rPr>
          <w:rFonts w:ascii="Arial" w:hAnsi="Arial"/>
          <w:lang w:val="en-US"/>
        </w:rPr>
        <w:t>You haven't mentioned joint ventures, have you?</w:t>
      </w:r>
    </w:p>
    <w:p w14:paraId="371B6C1B" w14:textId="77777777" w:rsidR="00997DDE" w:rsidRPr="00165709" w:rsidRDefault="00997DDE" w:rsidP="00997DD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/>
          <w:lang w:val="en-US"/>
        </w:rPr>
      </w:pPr>
      <w:r w:rsidRPr="00165709">
        <w:rPr>
          <w:rFonts w:ascii="Arial" w:hAnsi="Arial"/>
          <w:lang w:val="en-US"/>
        </w:rPr>
        <w:t xml:space="preserve">How often are companies </w:t>
      </w:r>
      <w:r>
        <w:rPr>
          <w:rFonts w:ascii="Arial" w:hAnsi="Arial"/>
          <w:lang w:val="en-US"/>
        </w:rPr>
        <w:t>required to</w:t>
      </w:r>
      <w:r w:rsidRPr="00165709">
        <w:rPr>
          <w:rFonts w:ascii="Arial" w:hAnsi="Arial"/>
          <w:lang w:val="en-US"/>
        </w:rPr>
        <w:t xml:space="preserve"> file their tax returns?</w:t>
      </w:r>
    </w:p>
    <w:p w14:paraId="320F18F5" w14:textId="77777777" w:rsidR="00997DDE" w:rsidRPr="00165709" w:rsidRDefault="00997DDE" w:rsidP="00997DD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/>
          <w:lang w:val="en-US"/>
        </w:rPr>
      </w:pPr>
      <w:r w:rsidRPr="00165709">
        <w:rPr>
          <w:rFonts w:ascii="Arial" w:hAnsi="Arial"/>
          <w:lang w:val="en-US"/>
        </w:rPr>
        <w:t>And what happens if this percentage results in an overestimation of income, that is, if the company's profit margin is smaller?</w:t>
      </w:r>
    </w:p>
    <w:p w14:paraId="083D3DFB" w14:textId="77777777" w:rsidR="00997DDE" w:rsidRPr="00165709" w:rsidRDefault="00997DDE" w:rsidP="00997DD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/>
          <w:lang w:val="en-US"/>
        </w:rPr>
      </w:pPr>
      <w:r w:rsidRPr="00165709">
        <w:rPr>
          <w:rFonts w:ascii="Arial" w:hAnsi="Arial"/>
          <w:lang w:val="en-US"/>
        </w:rPr>
        <w:t xml:space="preserve">That means, it applies to companies which post profits in excess of </w:t>
      </w:r>
      <w:r>
        <w:rPr>
          <w:rFonts w:ascii="Arial" w:hAnsi="Arial"/>
          <w:lang w:val="en-US"/>
        </w:rPr>
        <w:t xml:space="preserve">$$ </w:t>
      </w:r>
      <w:r w:rsidRPr="00165709">
        <w:rPr>
          <w:rFonts w:ascii="Arial" w:hAnsi="Arial"/>
          <w:lang w:val="en-US"/>
        </w:rPr>
        <w:t>240,000 per year…</w:t>
      </w:r>
    </w:p>
    <w:p w14:paraId="4A2FC428" w14:textId="77777777" w:rsidR="00997DDE" w:rsidRPr="00997DDE" w:rsidRDefault="00997DDE">
      <w:pPr>
        <w:rPr>
          <w:lang w:val="en-US"/>
        </w:rPr>
      </w:pPr>
    </w:p>
    <w:sectPr w:rsidR="00997DDE" w:rsidRPr="00997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A3A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DE"/>
    <w:rsid w:val="0099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471A"/>
  <w15:chartTrackingRefBased/>
  <w15:docId w15:val="{B28D69E4-B162-4BFA-A20C-726960E7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2023-08-23T11:57:00Z</dcterms:created>
  <dcterms:modified xsi:type="dcterms:W3CDTF">2023-08-23T11:58:00Z</dcterms:modified>
</cp:coreProperties>
</file>